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C" w:rsidRPr="001537B6" w:rsidRDefault="00B53F2C" w:rsidP="00B53F2C">
      <w:pPr>
        <w:pStyle w:val="11"/>
        <w:shd w:val="clear" w:color="auto" w:fill="auto"/>
        <w:spacing w:line="211" w:lineRule="auto"/>
        <w:ind w:firstLine="0"/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</w:pPr>
      <w:r w:rsidRPr="001537B6">
        <w:rPr>
          <w:rFonts w:ascii="Proxima Nova ExCn Rg" w:hAnsi="Proxima Nova ExCn Rg" w:cstheme="minorHAnsi"/>
          <w:noProof/>
          <w:color w:val="000000" w:themeColor="text1"/>
          <w:sz w:val="28"/>
          <w:szCs w:val="28"/>
        </w:rPr>
        <w:drawing>
          <wp:inline distT="0" distB="0" distL="0" distR="0" wp14:anchorId="25C12A4F" wp14:editId="7E80D610">
            <wp:extent cx="1320800" cy="8740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30" cy="8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  <w:tab/>
      </w:r>
      <w:r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  <w:tab/>
      </w:r>
      <w:r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  <w:tab/>
      </w:r>
      <w:r w:rsidRPr="001537B6"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  <w:t xml:space="preserve">Перечень Подтверждающих документов </w:t>
      </w:r>
    </w:p>
    <w:p w:rsidR="00B53F2C" w:rsidRDefault="00B53F2C" w:rsidP="00B53F2C">
      <w:pPr>
        <w:pStyle w:val="11"/>
        <w:shd w:val="clear" w:color="auto" w:fill="auto"/>
        <w:spacing w:line="211" w:lineRule="auto"/>
        <w:ind w:firstLine="0"/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/>
        </w:rPr>
      </w:pPr>
      <w:r w:rsidRPr="001537B6"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  <w:t>в целях</w:t>
      </w:r>
      <w:r w:rsidRPr="001537B6"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/>
        </w:rPr>
        <w:t xml:space="preserve"> дополнительных временных мер экономического характера, связанных с обращением ценных бумаг</w:t>
      </w:r>
    </w:p>
    <w:p w:rsidR="00B53F2C" w:rsidRPr="001537B6" w:rsidRDefault="00B53F2C" w:rsidP="00B53F2C">
      <w:pPr>
        <w:pStyle w:val="11"/>
        <w:shd w:val="clear" w:color="auto" w:fill="auto"/>
        <w:spacing w:line="211" w:lineRule="auto"/>
        <w:ind w:firstLine="0"/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/>
        </w:rPr>
      </w:pPr>
    </w:p>
    <w:p w:rsidR="00B53F2C" w:rsidRPr="001537B6" w:rsidRDefault="00B53F2C" w:rsidP="00B53F2C">
      <w:pPr>
        <w:pStyle w:val="11"/>
        <w:shd w:val="clear" w:color="auto" w:fill="auto"/>
        <w:tabs>
          <w:tab w:val="left" w:pos="426"/>
        </w:tabs>
        <w:spacing w:line="211" w:lineRule="auto"/>
        <w:ind w:firstLine="0"/>
        <w:jc w:val="both"/>
        <w:rPr>
          <w:rFonts w:ascii="Proxima Nova ExCn Rg" w:hAnsi="Proxima Nova ExCn Rg"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bCs/>
          <w:color w:val="000000" w:themeColor="text1"/>
          <w:sz w:val="28"/>
          <w:szCs w:val="28"/>
          <w:lang w:eastAsia="ru-RU" w:bidi="ru-RU"/>
        </w:rPr>
        <w:t>1. Перечень документов, предоставляемых Российскими юридическими лицами и физическими лицами - гражданами Российской Федерации</w:t>
      </w:r>
    </w:p>
    <w:p w:rsidR="00B53F2C" w:rsidRPr="001537B6" w:rsidRDefault="00B53F2C" w:rsidP="00B53F2C">
      <w:pPr>
        <w:tabs>
          <w:tab w:val="left" w:pos="426"/>
        </w:tabs>
        <w:jc w:val="both"/>
        <w:rPr>
          <w:rFonts w:ascii="Proxima Nova ExCn Rg" w:hAnsi="Proxima Nova ExCn Rg"/>
          <w:b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b/>
          <w:color w:val="000000" w:themeColor="text1"/>
          <w:sz w:val="28"/>
          <w:szCs w:val="28"/>
        </w:rPr>
        <w:t>Комментарии к порядку предоставления документов:</w:t>
      </w:r>
    </w:p>
    <w:p w:rsidR="00B53F2C" w:rsidRPr="001537B6" w:rsidRDefault="00B53F2C" w:rsidP="00B53F2C">
      <w:pPr>
        <w:pStyle w:val="ac"/>
        <w:widowControl/>
        <w:numPr>
          <w:ilvl w:val="0"/>
          <w:numId w:val="13"/>
        </w:numPr>
        <w:tabs>
          <w:tab w:val="left" w:pos="426"/>
        </w:tabs>
        <w:adjustRightInd/>
        <w:spacing w:after="200" w:line="276" w:lineRule="auto"/>
        <w:ind w:left="0" w:firstLine="0"/>
        <w:jc w:val="both"/>
        <w:rPr>
          <w:rFonts w:ascii="Proxima Nova ExCn Rg" w:hAnsi="Proxima Nova ExCn Rg"/>
          <w:i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i/>
          <w:color w:val="000000" w:themeColor="text1"/>
          <w:sz w:val="28"/>
          <w:szCs w:val="28"/>
        </w:rPr>
        <w:t>Документы, представленные зарегистрированным лицом Регистратору по пунктам 1 и 2 настоящего Перечня, считаются актуальными в течение трех месяцев с даты их предоставления. По истечении трех месяцев при совершении операции по зачислению или списанию ценных бумаг зарегистрированное лицо обязан предоставить Регистратору документы по пунктам 1 и 2 настоящего Перечня в отношении зарегистрированного лица и контрагента по сделке.</w:t>
      </w:r>
    </w:p>
    <w:p w:rsidR="00B53F2C" w:rsidRPr="001537B6" w:rsidRDefault="00B53F2C" w:rsidP="00B53F2C">
      <w:pPr>
        <w:pStyle w:val="ac"/>
        <w:widowControl/>
        <w:numPr>
          <w:ilvl w:val="0"/>
          <w:numId w:val="13"/>
        </w:numPr>
        <w:tabs>
          <w:tab w:val="left" w:pos="426"/>
        </w:tabs>
        <w:adjustRightInd/>
        <w:spacing w:after="200" w:line="276" w:lineRule="auto"/>
        <w:ind w:left="0" w:firstLine="0"/>
        <w:jc w:val="both"/>
        <w:rPr>
          <w:rFonts w:ascii="Proxima Nova ExCn Rg" w:hAnsi="Proxima Nova ExCn Rg"/>
          <w:i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i/>
          <w:color w:val="000000" w:themeColor="text1"/>
          <w:sz w:val="28"/>
          <w:szCs w:val="28"/>
        </w:rPr>
        <w:t>В случае получения разрешения на сделку, выдаваемого в соответствии с Указами Президента, Регистратору представляется разрешение. В данном случае обязанность по предоставлению документов по пунктам 1, 2 и 3 настоящего Перечня снимается.</w:t>
      </w:r>
    </w:p>
    <w:p w:rsidR="00B53F2C" w:rsidRPr="001537B6" w:rsidRDefault="00B53F2C" w:rsidP="00B53F2C">
      <w:pPr>
        <w:pStyle w:val="ac"/>
        <w:widowControl/>
        <w:numPr>
          <w:ilvl w:val="0"/>
          <w:numId w:val="13"/>
        </w:numPr>
        <w:tabs>
          <w:tab w:val="left" w:pos="426"/>
        </w:tabs>
        <w:adjustRightInd/>
        <w:spacing w:after="200" w:line="276" w:lineRule="auto"/>
        <w:ind w:left="0" w:firstLine="0"/>
        <w:jc w:val="both"/>
        <w:rPr>
          <w:rFonts w:ascii="Proxima Nova ExCn Rg" w:hAnsi="Proxima Nova ExCn Rg"/>
          <w:i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i/>
          <w:color w:val="000000" w:themeColor="text1"/>
          <w:sz w:val="28"/>
          <w:szCs w:val="28"/>
        </w:rPr>
        <w:t>В случае предоставления Регистратору письма-заверения с приложением структуры собственности (состав и структура акционеров (участников), с раскрытием всей цепочки владения до конечных владельцев (бенефициаров), подтверждающих, что конечным бенефициаром является недружественное иностранное лицо, обязанность по предоставлению Регистратору документов по пунктам 1 и 2 настоящего Перечня снимается.</w:t>
      </w:r>
    </w:p>
    <w:p w:rsidR="00B53F2C" w:rsidRPr="001537B6" w:rsidRDefault="00B53F2C" w:rsidP="00B53F2C">
      <w:pPr>
        <w:pStyle w:val="ac"/>
        <w:widowControl/>
        <w:numPr>
          <w:ilvl w:val="0"/>
          <w:numId w:val="13"/>
        </w:numPr>
        <w:tabs>
          <w:tab w:val="left" w:pos="426"/>
        </w:tabs>
        <w:adjustRightInd/>
        <w:spacing w:after="200" w:line="276" w:lineRule="auto"/>
        <w:ind w:left="0" w:firstLine="0"/>
        <w:jc w:val="both"/>
        <w:rPr>
          <w:rFonts w:ascii="Proxima Nova ExCn Rg" w:hAnsi="Proxima Nova ExCn Rg"/>
          <w:i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i/>
          <w:color w:val="000000" w:themeColor="text1"/>
          <w:sz w:val="28"/>
          <w:szCs w:val="28"/>
        </w:rPr>
        <w:t>В отношении российских юридических лиц, владение которыми более чем на 50% осуществляют РФ, субъекты РФ, государственные и муниципальные образования, и о чем есть публичная информация, документы по пунктам 1 и 2 настоящего Перечня могут не предоставляться при условии представления Регистратору письма-заверения с указанием публично достоверного источника информации, подтверждающего раскрытие вышеуказанной информации.</w:t>
      </w:r>
    </w:p>
    <w:p w:rsidR="00B53F2C" w:rsidRPr="001537B6" w:rsidRDefault="00B53F2C" w:rsidP="00B53F2C">
      <w:pPr>
        <w:pStyle w:val="ac"/>
        <w:widowControl/>
        <w:numPr>
          <w:ilvl w:val="0"/>
          <w:numId w:val="13"/>
        </w:numPr>
        <w:tabs>
          <w:tab w:val="left" w:pos="426"/>
        </w:tabs>
        <w:adjustRightInd/>
        <w:spacing w:after="200" w:line="276" w:lineRule="auto"/>
        <w:ind w:left="0" w:firstLine="0"/>
        <w:jc w:val="both"/>
        <w:rPr>
          <w:rFonts w:ascii="Proxima Nova ExCn Rg" w:hAnsi="Proxima Nova ExCn Rg"/>
          <w:i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i/>
          <w:color w:val="000000" w:themeColor="text1"/>
          <w:sz w:val="28"/>
          <w:szCs w:val="28"/>
        </w:rPr>
        <w:t xml:space="preserve">В отношении государственных структур, статус и правовое положение которых определяется федеральными законами, документы по пунктам 1 и 2 настоящего Перечня могут не предоставляться при условии представления Регистратору письма-заверения с указанием публично достоверного источника информации, подтверждающего раскрытие вышеуказанной информации. </w:t>
      </w:r>
    </w:p>
    <w:p w:rsidR="00B53F2C" w:rsidRPr="001537B6" w:rsidRDefault="00B53F2C" w:rsidP="00B53F2C">
      <w:pPr>
        <w:pStyle w:val="ac"/>
        <w:widowControl/>
        <w:numPr>
          <w:ilvl w:val="0"/>
          <w:numId w:val="13"/>
        </w:numPr>
        <w:tabs>
          <w:tab w:val="left" w:pos="426"/>
        </w:tabs>
        <w:adjustRightInd/>
        <w:spacing w:after="200" w:line="276" w:lineRule="auto"/>
        <w:ind w:left="0" w:firstLine="0"/>
        <w:jc w:val="both"/>
        <w:rPr>
          <w:rFonts w:ascii="Proxima Nova ExCn Rg" w:hAnsi="Proxima Nova ExCn Rg"/>
          <w:i/>
          <w:color w:val="000000" w:themeColor="text1"/>
          <w:sz w:val="28"/>
          <w:szCs w:val="28"/>
        </w:rPr>
      </w:pPr>
      <w:r w:rsidRPr="001537B6">
        <w:rPr>
          <w:rFonts w:ascii="Proxima Nova ExCn Rg" w:hAnsi="Proxima Nova ExCn Rg"/>
          <w:i/>
          <w:color w:val="000000" w:themeColor="text1"/>
          <w:sz w:val="28"/>
          <w:szCs w:val="28"/>
        </w:rPr>
        <w:t>За Регистратором сохраняется право запросить дополнительные документы.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8"/>
        <w:gridCol w:w="1980"/>
        <w:gridCol w:w="7234"/>
      </w:tblGrid>
      <w:tr w:rsidR="00B53F2C" w:rsidRPr="001537B6" w:rsidTr="00B53F2C">
        <w:tc>
          <w:tcPr>
            <w:tcW w:w="9912" w:type="dxa"/>
            <w:gridSpan w:val="3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b/>
                <w:color w:val="000000" w:themeColor="text1"/>
                <w:sz w:val="28"/>
                <w:szCs w:val="28"/>
                <w:lang w:eastAsia="ru-RU" w:bidi="ru-RU"/>
              </w:rPr>
              <w:t>Юридические лица</w:t>
            </w:r>
          </w:p>
        </w:tc>
      </w:tr>
      <w:tr w:rsidR="00B53F2C" w:rsidRPr="001537B6" w:rsidTr="00B53F2C">
        <w:tc>
          <w:tcPr>
            <w:tcW w:w="698" w:type="dxa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0" w:type="dxa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Для подтверждения, что Российские юридические лица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не находятся под контролем иностранных лиц</w:t>
            </w:r>
          </w:p>
        </w:tc>
        <w:tc>
          <w:tcPr>
            <w:tcW w:w="7234" w:type="dxa"/>
          </w:tcPr>
          <w:p w:rsidR="00B53F2C" w:rsidRPr="001537B6" w:rsidRDefault="00B53F2C" w:rsidP="00F3062D">
            <w:pPr>
              <w:pStyle w:val="ab"/>
              <w:shd w:val="clear" w:color="auto" w:fill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 xml:space="preserve">1. Письмо-заверение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(по Форме 1. Письмо-</w:t>
            </w:r>
            <w:proofErr w:type="spellStart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заверение_для</w:t>
            </w:r>
            <w:proofErr w:type="spellEnd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 всех, кроме ПАО - приложение 1 к настоящему перечню, </w:t>
            </w:r>
            <w:r w:rsidRPr="001537B6">
              <w:rPr>
                <w:rFonts w:ascii="Proxima Nova ExCn Rg" w:hAnsi="Proxima Nova ExCn Rg"/>
                <w:i/>
                <w:color w:val="000000" w:themeColor="text1"/>
                <w:sz w:val="28"/>
                <w:szCs w:val="28"/>
                <w:u w:val="single"/>
              </w:rPr>
              <w:t>подписывается клиентом/зарегистрированным лицом</w:t>
            </w:r>
            <w:r w:rsidRPr="001537B6">
              <w:rPr>
                <w:rFonts w:ascii="Proxima Nova ExCn Rg" w:hAnsi="Proxima Nova ExCn Rg"/>
                <w:i/>
                <w:color w:val="000000" w:themeColor="text1"/>
                <w:sz w:val="28"/>
                <w:szCs w:val="28"/>
              </w:rPr>
              <w:t>)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,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к которому приобщаются: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ind w:firstLine="14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Структура собственности (состав и структура акционеров (участников), с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раскрытием всей цепочки владения до конечных владельцев (бенефициаров) (в произвольной форме (схема, таблица);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"/>
              </w:numPr>
              <w:shd w:val="clear" w:color="auto" w:fill="auto"/>
              <w:tabs>
                <w:tab w:val="left" w:pos="524"/>
              </w:tabs>
              <w:ind w:firstLine="14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Выписка из ЕГРЮЛ для ООО и АО с единственным акционером (если на момент предоставления документа сведения о единственном акционере отражены в ЕГРЮЛ) в отношении каждого лица в структуре собственности.</w:t>
            </w:r>
          </w:p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Список владельцев ценных бумаг для непубличных АО 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/получателем Списка выступает АО-эмитент. Список выдается держателем реестра АО)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  <w:p w:rsidR="00B53F2C" w:rsidRPr="001537B6" w:rsidRDefault="00B53F2C" w:rsidP="00F3062D">
            <w:pPr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B53F2C" w:rsidRPr="001537B6" w:rsidTr="00B53F2C">
        <w:tc>
          <w:tcPr>
            <w:tcW w:w="698" w:type="dxa"/>
          </w:tcPr>
          <w:p w:rsidR="00B53F2C" w:rsidRPr="001537B6" w:rsidRDefault="00B53F2C" w:rsidP="00F3062D">
            <w:pPr>
              <w:pStyle w:val="ab"/>
              <w:shd w:val="clear" w:color="auto" w:fill="auto"/>
              <w:ind w:firstLine="140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2.</w:t>
            </w:r>
          </w:p>
        </w:tc>
        <w:tc>
          <w:tcPr>
            <w:tcW w:w="1980" w:type="dxa"/>
          </w:tcPr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Для ПАО</w:t>
            </w:r>
          </w:p>
        </w:tc>
        <w:tc>
          <w:tcPr>
            <w:tcW w:w="7234" w:type="dxa"/>
            <w:vAlign w:val="bottom"/>
          </w:tcPr>
          <w:p w:rsidR="00B53F2C" w:rsidRPr="001537B6" w:rsidRDefault="00B53F2C" w:rsidP="00F3062D">
            <w:pPr>
              <w:pStyle w:val="ab"/>
              <w:shd w:val="clear" w:color="auto" w:fill="auto"/>
              <w:ind w:firstLine="14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1. Письмо-заверение в свободном формате для ПАО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(по Форме 2. Письмо-</w:t>
            </w:r>
            <w:proofErr w:type="spellStart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заверение_для</w:t>
            </w:r>
            <w:proofErr w:type="spellEnd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 ПАО - приложение 2 к настоящему перечню) </w:t>
            </w:r>
            <w:r w:rsidRPr="001537B6">
              <w:rPr>
                <w:rFonts w:ascii="Proxima Nova ExCn Rg" w:hAnsi="Proxima Nova ExCn Rg"/>
                <w:i/>
                <w:color w:val="000000" w:themeColor="text1"/>
                <w:sz w:val="28"/>
                <w:szCs w:val="28"/>
              </w:rPr>
              <w:t>(подписывается ПАО)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, 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подписывается ПАО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 к которому приобщаются: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524"/>
              </w:tabs>
              <w:ind w:firstLine="14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Отчет эмитента за последний отчетный период, предшествующий дате письма-заверения;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ind w:firstLine="14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Структура собственности (дополнительно, при наличии - в произвольной форме (схема, таблица).</w:t>
            </w:r>
          </w:p>
        </w:tc>
      </w:tr>
      <w:tr w:rsidR="00B53F2C" w:rsidRPr="001537B6" w:rsidTr="00B53F2C">
        <w:tc>
          <w:tcPr>
            <w:tcW w:w="9912" w:type="dxa"/>
            <w:gridSpan w:val="3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Физические лица</w:t>
            </w:r>
          </w:p>
        </w:tc>
      </w:tr>
      <w:tr w:rsidR="00B53F2C" w:rsidRPr="001537B6" w:rsidTr="00B53F2C">
        <w:tc>
          <w:tcPr>
            <w:tcW w:w="698" w:type="dxa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Документы, подтверждающие гражданство</w:t>
            </w:r>
          </w:p>
        </w:tc>
        <w:tc>
          <w:tcPr>
            <w:tcW w:w="7234" w:type="dxa"/>
          </w:tcPr>
          <w:p w:rsidR="00B53F2C" w:rsidRPr="001537B6" w:rsidRDefault="00B53F2C" w:rsidP="00F3062D">
            <w:pPr>
              <w:pStyle w:val="11"/>
              <w:shd w:val="clear" w:color="auto" w:fill="auto"/>
              <w:tabs>
                <w:tab w:val="left" w:pos="495"/>
              </w:tabs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1. паспорт гражданина Российской Федерации.</w:t>
            </w:r>
          </w:p>
        </w:tc>
      </w:tr>
    </w:tbl>
    <w:p w:rsidR="00B53F2C" w:rsidRPr="001537B6" w:rsidRDefault="00B53F2C" w:rsidP="00B53F2C">
      <w:pPr>
        <w:pStyle w:val="11"/>
        <w:shd w:val="clear" w:color="auto" w:fill="auto"/>
        <w:tabs>
          <w:tab w:val="left" w:pos="495"/>
        </w:tabs>
        <w:ind w:firstLine="0"/>
        <w:jc w:val="both"/>
        <w:rPr>
          <w:rFonts w:ascii="Proxima Nova ExCn Rg" w:hAnsi="Proxima Nova ExCn Rg"/>
          <w:color w:val="000000" w:themeColor="text1"/>
          <w:sz w:val="28"/>
          <w:szCs w:val="28"/>
          <w:lang w:eastAsia="ru-RU" w:bidi="ru-RU"/>
        </w:rPr>
      </w:pPr>
    </w:p>
    <w:p w:rsidR="00B53F2C" w:rsidRPr="001537B6" w:rsidRDefault="00B53F2C" w:rsidP="00B53F2C">
      <w:pPr>
        <w:pStyle w:val="11"/>
        <w:shd w:val="clear" w:color="auto" w:fill="auto"/>
        <w:spacing w:after="0"/>
        <w:ind w:firstLine="0"/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</w:pPr>
      <w:r w:rsidRPr="001537B6"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  <w:t>2. Перечень документов, предоставляемых иностранными юридическими лицами и физическими лицами, не являющимися гражданами Российской Федерации</w:t>
      </w:r>
    </w:p>
    <w:p w:rsidR="00B53F2C" w:rsidRPr="001537B6" w:rsidRDefault="00B53F2C" w:rsidP="00B53F2C">
      <w:pPr>
        <w:pStyle w:val="11"/>
        <w:shd w:val="clear" w:color="auto" w:fill="auto"/>
        <w:spacing w:line="211" w:lineRule="auto"/>
        <w:jc w:val="both"/>
        <w:rPr>
          <w:rFonts w:ascii="Proxima Nova ExCn Rg" w:hAnsi="Proxima Nova ExCn Rg"/>
          <w:b/>
          <w:bCs/>
          <w:color w:val="000000" w:themeColor="text1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3"/>
        <w:gridCol w:w="1979"/>
        <w:gridCol w:w="7230"/>
      </w:tblGrid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  <w:tc>
          <w:tcPr>
            <w:tcW w:w="7365" w:type="dxa"/>
          </w:tcPr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 xml:space="preserve">1. Письмо о структуре и составе акционеров/участников с </w:t>
            </w:r>
            <w:r w:rsidRPr="001537B6">
              <w:rPr>
                <w:rFonts w:ascii="Proxima Nova ExCn Rg" w:hAnsi="Proxima Nova ExCn Rg"/>
                <w:b/>
                <w:bCs/>
                <w:color w:val="000000" w:themeColor="text1"/>
                <w:sz w:val="28"/>
                <w:szCs w:val="28"/>
                <w:lang w:bidi="ru-RU"/>
              </w:rPr>
              <w:t xml:space="preserve">раскрытием всей цепочки владения до конечных владельцев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 xml:space="preserve">(бенефициаров) с заверением о том, что информация, содержащаяся в представленных к письму документах, актуальна на дату подписания письма 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u w:val="single"/>
                <w:lang w:bidi="ru-RU"/>
              </w:rPr>
              <w:t>(в произвольной форме, подписывается зарегистрированным лицом)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bidi="ru-RU"/>
              </w:rPr>
              <w:t>-к которому приобщаются:</w:t>
            </w:r>
          </w:p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1.1. Документ, подтверждающий создание (учреждение) иностранного лица (для каждого лица в цепочке).</w:t>
            </w:r>
          </w:p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Такими документами, в частности, могут быть:</w:t>
            </w:r>
          </w:p>
          <w:p w:rsidR="00B53F2C" w:rsidRPr="001537B6" w:rsidRDefault="00B53F2C" w:rsidP="00B53F2C">
            <w:pPr>
              <w:pStyle w:val="ac"/>
              <w:numPr>
                <w:ilvl w:val="0"/>
                <w:numId w:val="3"/>
              </w:num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Свидетельство/сертификат о регистрации (инкорпорации);</w:t>
            </w:r>
          </w:p>
          <w:p w:rsidR="00B53F2C" w:rsidRPr="001537B6" w:rsidRDefault="00B53F2C" w:rsidP="00B53F2C">
            <w:pPr>
              <w:pStyle w:val="ac"/>
              <w:numPr>
                <w:ilvl w:val="0"/>
                <w:numId w:val="3"/>
              </w:num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Выписка из государственного реестра/торговой палаты. Иные аналогичные документы, содержащие информацию о месте учреждения организации</w:t>
            </w:r>
          </w:p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bidi="ru-RU"/>
              </w:rPr>
              <w:t>Документы должны быть выданы уполномоченным государственным органом (не самой компанией).</w:t>
            </w:r>
          </w:p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1.2. Документ, содержащий сведения о размере уставного капитала и составе акционеров/участников (для каждого лица в цепочке).</w:t>
            </w:r>
          </w:p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Такими документами, в частности, могут быть:</w:t>
            </w:r>
          </w:p>
          <w:p w:rsidR="00B53F2C" w:rsidRPr="001537B6" w:rsidRDefault="00B53F2C" w:rsidP="00B53F2C">
            <w:pPr>
              <w:pStyle w:val="ac"/>
              <w:numPr>
                <w:ilvl w:val="0"/>
                <w:numId w:val="4"/>
              </w:num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lastRenderedPageBreak/>
              <w:t>Свидетельство/сертификат об акционерах/участниках;</w:t>
            </w:r>
          </w:p>
          <w:p w:rsidR="00B53F2C" w:rsidRPr="001537B6" w:rsidRDefault="00B53F2C" w:rsidP="00B53F2C">
            <w:pPr>
              <w:pStyle w:val="ac"/>
              <w:numPr>
                <w:ilvl w:val="0"/>
                <w:numId w:val="4"/>
              </w:num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Устав/учредительный договор/ меморандум;</w:t>
            </w:r>
          </w:p>
          <w:p w:rsidR="00B53F2C" w:rsidRPr="001537B6" w:rsidRDefault="00B53F2C" w:rsidP="00B53F2C">
            <w:pPr>
              <w:pStyle w:val="ac"/>
              <w:numPr>
                <w:ilvl w:val="0"/>
                <w:numId w:val="4"/>
              </w:num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Выписка из государственного реестра/торговой палаты. Иные аналогичные документы, содержащие информацию о размере уставного капитала и акционерах/участниках.</w:t>
            </w:r>
          </w:p>
          <w:p w:rsidR="00B53F2C" w:rsidRPr="001537B6" w:rsidRDefault="00B53F2C" w:rsidP="00F3062D">
            <w:pPr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>Документы должны быть выданы уполномоченным государственным органом (не самой компанией).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Для физических лиц</w:t>
            </w:r>
          </w:p>
        </w:tc>
        <w:tc>
          <w:tcPr>
            <w:tcW w:w="7365" w:type="dxa"/>
          </w:tcPr>
          <w:p w:rsidR="00B53F2C" w:rsidRPr="001537B6" w:rsidRDefault="00B53F2C" w:rsidP="00B53F2C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200"/>
              </w:tabs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Документы, подтверждающие гражданство.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Вид на жительство в РФ (при наличии).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Для подтверждения контролирующих лиц юридического лица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(для применения</w:t>
            </w:r>
          </w:p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п.12 Указа №95)</w:t>
            </w:r>
          </w:p>
        </w:tc>
        <w:tc>
          <w:tcPr>
            <w:tcW w:w="7365" w:type="dxa"/>
          </w:tcPr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Предоставляется комплект из 3-х документов: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812"/>
              </w:tabs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1. Уведомление об участии в иностранных организациях (об учреждении иностранных структур без образования юридического лица), подаваемое в соответствии с подпунктами 1 и 2 п. 3.1. ст. 25.14 НК РФ (последнее поданное в налоговый орган уведомление), и документы, подтверждающие направление уведомления в налоговый орган: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540"/>
              </w:tabs>
              <w:ind w:left="520" w:hanging="3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квитанция ФНС России о приеме электронного документа (при представлении документа в электронной форме по телекоммуникационным каналам связи или через личный кабинет» налогоплательщика);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ind w:left="520" w:hanging="3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отметка о принятии документа (при представлении документа на бумажном носителе непосредственно в налоговые органы)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576"/>
              </w:tabs>
              <w:ind w:left="520" w:hanging="3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почтовая квитанция с описью вложения с отметкой организации почтовой связи (при направлении документа по почте).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576"/>
              </w:tabs>
              <w:ind w:left="20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2.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Уведомление о контролируемых иностранных компаниях, подаваемое </w:t>
            </w:r>
            <w:proofErr w:type="gramStart"/>
            <w:r w:rsidRPr="001537B6">
              <w:rPr>
                <w:rFonts w:ascii="Proxima Nova ExCn Rg" w:hAnsi="Proxima Nova ExCn Rg"/>
                <w:smallCaps/>
                <w:color w:val="000000" w:themeColor="text1"/>
                <w:sz w:val="28"/>
                <w:szCs w:val="28"/>
                <w:lang w:eastAsia="ru-RU" w:bidi="ru-RU"/>
              </w:rPr>
              <w:t>в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 соответствии с</w:t>
            </w:r>
            <w:proofErr w:type="gramEnd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 подпунктом 3 п. 3.1. ст. 25.14 НК РФ, (последнее поданное в налоговый орган уведомление), и документы, подтверждающие направление уведомления в налоговый орган: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7"/>
              </w:numPr>
              <w:shd w:val="clear" w:color="auto" w:fill="auto"/>
              <w:tabs>
                <w:tab w:val="left" w:pos="532"/>
              </w:tabs>
              <w:spacing w:line="226" w:lineRule="auto"/>
              <w:ind w:left="520" w:hanging="3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квитанция ФНС России о приеме электронного документа (при представлении документа в электронной форме по телекоммуникационным каналам связи или через личный кабинет налогоплательщика);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7"/>
              </w:numPr>
              <w:shd w:val="clear" w:color="auto" w:fill="auto"/>
              <w:tabs>
                <w:tab w:val="left" w:pos="528"/>
              </w:tabs>
              <w:spacing w:line="226" w:lineRule="auto"/>
              <w:ind w:left="520" w:hanging="3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отметка о принятии документа (при предоставлении документа на бумажном носителе непосредственно в налоговые органы);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7"/>
              </w:numPr>
              <w:shd w:val="clear" w:color="auto" w:fill="auto"/>
              <w:tabs>
                <w:tab w:val="left" w:pos="532"/>
              </w:tabs>
              <w:spacing w:line="214" w:lineRule="auto"/>
              <w:ind w:left="520" w:hanging="3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почтовая квитанция с описью вложения с отметкой организации почтовой связи (при направлении документа по почте).</w:t>
            </w:r>
          </w:p>
          <w:p w:rsidR="00B53F2C" w:rsidRPr="001537B6" w:rsidRDefault="00B53F2C" w:rsidP="00F3062D">
            <w:pPr>
              <w:pStyle w:val="11"/>
              <w:shd w:val="clear" w:color="auto" w:fill="auto"/>
              <w:spacing w:line="211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3. Письмо, подтверждающее, что с момента направления уведомлений в налоговый орган в информации, представленной в уведомлениях, изменений не произошло (в произвольной форме, подписывается зарегистрированным лицом).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Для подтверждения контролирующих лиц и даты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приобретения контроля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(для применения п.4.</w:t>
            </w:r>
          </w:p>
          <w:p w:rsidR="00B53F2C" w:rsidRPr="001537B6" w:rsidRDefault="00B53F2C" w:rsidP="00F3062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Указа №254)</w:t>
            </w:r>
          </w:p>
        </w:tc>
        <w:tc>
          <w:tcPr>
            <w:tcW w:w="7365" w:type="dxa"/>
          </w:tcPr>
          <w:p w:rsidR="00B53F2C" w:rsidRPr="001537B6" w:rsidRDefault="00B53F2C" w:rsidP="00F3062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 xml:space="preserve">Документы, подтверждающие, что иностранное лицо находится под контролем юридических лиц или физических лиц, личным законом которых является право иностранного государства, не относящегося к иностранным государствам, совершающим недружественные действия, или под контролем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иностранного государства, не относящего сяк иностранным государствам, с свершающим недружественные действия, а также документы, подтверждающие установление контроля до 1 марта 2022 г. Список документов аналогичен списку, указанному в п.1 данного раздела.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635"/>
              </w:tabs>
              <w:spacing w:after="12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2.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ab/>
              <w:t>Документы, подтверждающие личный закон лиц, контролирующих иностранное лицо.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ab"/>
              <w:shd w:val="clear" w:color="auto" w:fill="auto"/>
              <w:ind w:firstLine="140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4.1.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pStyle w:val="ab"/>
              <w:shd w:val="clear" w:color="auto" w:fill="auto"/>
              <w:spacing w:line="254" w:lineRule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Для юридических лиц, контролирующих иностранное лицо</w:t>
            </w:r>
          </w:p>
        </w:tc>
        <w:tc>
          <w:tcPr>
            <w:tcW w:w="7365" w:type="dxa"/>
            <w:vAlign w:val="bottom"/>
          </w:tcPr>
          <w:p w:rsidR="00B53F2C" w:rsidRPr="001537B6" w:rsidRDefault="00B53F2C" w:rsidP="00F3062D">
            <w:pPr>
              <w:pStyle w:val="ab"/>
              <w:shd w:val="clear" w:color="auto" w:fill="auto"/>
              <w:spacing w:line="257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Документ, подтверждающий создание (учреждение) иностранного лица (для каждого лица в цепочке).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spacing w:line="257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Такими документами, в частности, могут быть: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9"/>
              </w:numPr>
              <w:shd w:val="clear" w:color="auto" w:fill="auto"/>
              <w:tabs>
                <w:tab w:val="left" w:pos="3084"/>
                <w:tab w:val="left" w:pos="3582"/>
              </w:tabs>
              <w:spacing w:line="257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Свидетельство/сертификат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ab/>
              <w:t>о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ab/>
              <w:t>регистрации (инкорпорации);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9"/>
              </w:numPr>
              <w:shd w:val="clear" w:color="auto" w:fill="auto"/>
              <w:spacing w:line="257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Выписка из государственного реестра/торговой палаты. 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9"/>
              </w:numPr>
              <w:shd w:val="clear" w:color="auto" w:fill="auto"/>
              <w:spacing w:line="257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Иные аналогичные документы, содержащие информацию о месте учреждения организации.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4.2.</w:t>
            </w:r>
          </w:p>
        </w:tc>
        <w:tc>
          <w:tcPr>
            <w:tcW w:w="1985" w:type="dxa"/>
            <w:vAlign w:val="bottom"/>
          </w:tcPr>
          <w:p w:rsidR="00B53F2C" w:rsidRPr="001537B6" w:rsidRDefault="00B53F2C" w:rsidP="00F3062D">
            <w:pPr>
              <w:pStyle w:val="ab"/>
              <w:shd w:val="clear" w:color="auto" w:fill="auto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Для физических лиц, контролирующих иностранное лицо</w:t>
            </w:r>
          </w:p>
        </w:tc>
        <w:tc>
          <w:tcPr>
            <w:tcW w:w="7365" w:type="dxa"/>
          </w:tcPr>
          <w:p w:rsidR="00B53F2C" w:rsidRPr="001537B6" w:rsidRDefault="00B53F2C" w:rsidP="00B53F2C">
            <w:pPr>
              <w:pStyle w:val="ab"/>
              <w:numPr>
                <w:ilvl w:val="0"/>
                <w:numId w:val="8"/>
              </w:numPr>
              <w:shd w:val="clear" w:color="auto" w:fill="auto"/>
              <w:tabs>
                <w:tab w:val="left" w:pos="277"/>
              </w:tabs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Документы, подтверждающие гражданство.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8"/>
              </w:numPr>
              <w:shd w:val="clear" w:color="auto" w:fill="auto"/>
              <w:tabs>
                <w:tab w:val="left" w:pos="303"/>
              </w:tabs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Вид на жительство в РФ (при наличии).</w:t>
            </w:r>
          </w:p>
        </w:tc>
      </w:tr>
      <w:tr w:rsidR="00B53F2C" w:rsidRPr="001537B6" w:rsidTr="00F3062D">
        <w:tc>
          <w:tcPr>
            <w:tcW w:w="10054" w:type="dxa"/>
            <w:gridSpan w:val="3"/>
            <w:vAlign w:val="bottom"/>
          </w:tcPr>
          <w:p w:rsidR="00B53F2C" w:rsidRPr="001537B6" w:rsidRDefault="00B53F2C" w:rsidP="00F3062D">
            <w:pPr>
              <w:pStyle w:val="ab"/>
              <w:shd w:val="clear" w:color="auto" w:fill="auto"/>
              <w:jc w:val="both"/>
              <w:rPr>
                <w:rFonts w:ascii="Proxima Nova ExCn Rg" w:hAnsi="Proxima Nova ExCn Rg"/>
                <w:b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b/>
                <w:color w:val="000000" w:themeColor="text1"/>
                <w:sz w:val="28"/>
                <w:szCs w:val="28"/>
                <w:lang w:eastAsia="ru-RU" w:bidi="ru-RU"/>
              </w:rPr>
              <w:t>В отношении Российских юридических лиц и физических лиц- граждан Российской Федерации, которые являются контролирующими лицами иностранного лица на основании документов, указанных в п. 3 Перечня: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757"/>
              </w:tabs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757"/>
              </w:tabs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Для подтверждения, что указанные Российские юридические лица не находятся под контролем иностранных лиц</w:t>
            </w:r>
          </w:p>
        </w:tc>
        <w:tc>
          <w:tcPr>
            <w:tcW w:w="7365" w:type="dxa"/>
          </w:tcPr>
          <w:p w:rsidR="00B53F2C" w:rsidRPr="001537B6" w:rsidRDefault="00B53F2C" w:rsidP="00F3062D">
            <w:pPr>
              <w:pStyle w:val="ab"/>
              <w:shd w:val="clear" w:color="auto" w:fill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1. Письмо заверение (по Форме 1. Письмо-</w:t>
            </w:r>
            <w:proofErr w:type="spellStart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заверение_для</w:t>
            </w:r>
            <w:proofErr w:type="spellEnd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 всех, кроме ПАО - приложение 1 к настоящему перечню, </w:t>
            </w:r>
            <w:r w:rsidRPr="001537B6">
              <w:rPr>
                <w:rFonts w:ascii="Proxima Nova ExCn Rg" w:hAnsi="Proxima Nova ExCn Rg"/>
                <w:i/>
                <w:color w:val="000000" w:themeColor="text1"/>
                <w:sz w:val="28"/>
                <w:szCs w:val="28"/>
                <w:u w:val="single"/>
              </w:rPr>
              <w:t>подписывается клиентом/зарегистрированным лицом</w:t>
            </w:r>
            <w:r w:rsidRPr="001537B6">
              <w:rPr>
                <w:rFonts w:ascii="Proxima Nova ExCn Rg" w:hAnsi="Proxima Nova ExCn Rg"/>
                <w:i/>
                <w:color w:val="000000" w:themeColor="text1"/>
                <w:sz w:val="28"/>
                <w:szCs w:val="28"/>
              </w:rPr>
              <w:t>)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, к которому приобщается: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447"/>
              </w:tabs>
              <w:spacing w:after="60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Структура собственности (состав и структура акционеров (участников), с раскрытием всей цепочки владения до конечных владельцев (бенефициаров) (в произвольной форме (схема, таблица);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362"/>
              </w:tabs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Выписка из ЕГРЮЛ для ООО и АО с единственным акционером (если на момент предоставления документа сведения о единственном акционере отражены в ЕГРЮЛ) в отношении каждого лица в структуре собственности.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362"/>
              </w:tabs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Список владельцев ценных бумаг для непубличных АО (получателем Списка выступает АО-эмитент, Список выдается держателем реестра АО).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spacing w:line="226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2. Для ПАО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spacing w:line="226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2 1. Письмо –заверение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(по Форме 2. Письмо-</w:t>
            </w:r>
            <w:proofErr w:type="spellStart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заверение_для</w:t>
            </w:r>
            <w:proofErr w:type="spellEnd"/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 ПАО - приложение 2 к настоящему перечню)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 для ПАО 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(подписывается ПАО),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 xml:space="preserve"> к которому приобщаются: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377"/>
              </w:tabs>
              <w:spacing w:line="226" w:lineRule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Отчет эмитента за последний отчетный период, предшествующий дате письма-заверения;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Структура собственности (дополнительно, при наличии – в произвольной форме (схема, таблица).</w:t>
            </w:r>
          </w:p>
        </w:tc>
      </w:tr>
      <w:tr w:rsidR="00B53F2C" w:rsidRPr="001537B6" w:rsidTr="00F3062D">
        <w:tc>
          <w:tcPr>
            <w:tcW w:w="704" w:type="dxa"/>
          </w:tcPr>
          <w:p w:rsidR="00B53F2C" w:rsidRPr="001537B6" w:rsidRDefault="00B53F2C" w:rsidP="00F3062D">
            <w:pPr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53F2C" w:rsidRPr="001537B6" w:rsidRDefault="00B53F2C" w:rsidP="00F3062D">
            <w:pPr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 xml:space="preserve">Документы, подтверждающие гражданство РФ 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7365" w:type="dxa"/>
          </w:tcPr>
          <w:p w:rsidR="00B53F2C" w:rsidRPr="001537B6" w:rsidRDefault="00B53F2C" w:rsidP="00F3062D">
            <w:pPr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bidi="ru-RU"/>
              </w:rPr>
              <w:lastRenderedPageBreak/>
              <w:t>1. паспорт гражданина Российской Федерации.</w:t>
            </w:r>
          </w:p>
        </w:tc>
      </w:tr>
    </w:tbl>
    <w:p w:rsidR="00B53F2C" w:rsidRPr="001537B6" w:rsidRDefault="00B53F2C" w:rsidP="00B53F2C">
      <w:pPr>
        <w:rPr>
          <w:rFonts w:ascii="Proxima Nova ExCn Rg" w:hAnsi="Proxima Nova ExCn Rg"/>
          <w:color w:val="000000" w:themeColor="text1"/>
          <w:sz w:val="28"/>
          <w:szCs w:val="28"/>
          <w:lang w:bidi="ru-RU"/>
        </w:rPr>
      </w:pPr>
      <w:r w:rsidRPr="001537B6">
        <w:rPr>
          <w:rFonts w:ascii="Proxima Nova ExCn Rg" w:hAnsi="Proxima Nova ExCn Rg"/>
          <w:b/>
          <w:iCs/>
          <w:color w:val="000000" w:themeColor="text1"/>
          <w:sz w:val="28"/>
          <w:szCs w:val="28"/>
          <w:lang w:bidi="ru-RU"/>
        </w:rPr>
        <w:t>Перечень документов, предоставляемых в отношении ценных бумаг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7620"/>
      </w:tblGrid>
      <w:tr w:rsidR="00B53F2C" w:rsidRPr="001537B6" w:rsidTr="00F3062D">
        <w:trPr>
          <w:trHeight w:hRule="exact" w:val="262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2C" w:rsidRPr="001537B6" w:rsidRDefault="00B53F2C" w:rsidP="00F3062D">
            <w:pPr>
              <w:pStyle w:val="ab"/>
              <w:shd w:val="clear" w:color="auto" w:fill="auto"/>
              <w:tabs>
                <w:tab w:val="right" w:pos="2190"/>
              </w:tabs>
              <w:spacing w:line="233" w:lineRule="auto"/>
              <w:ind w:left="128" w:right="164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Если ценные бумаги приобретены до 22.02.2022 или 01.03.2022 в соответствии с Указами</w:t>
            </w: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ab/>
              <w:t>Президента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spacing w:line="233" w:lineRule="auto"/>
              <w:ind w:left="128" w:right="164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включительно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375"/>
              </w:tabs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1.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ab/>
              <w:t>Выписка (отчет, справка) о движении ценных бумаг из предыдущего места хранения ценных бумаг за период с даты приобретения ценных бумаг по дату, предшествующую дате направления Регистратору распоряжения на совершение операции, подтверждающая, что бумаги были приобретены до 22.02.2022 или 01.03.2022 в соответствии с Указами Президента включительно и после указанной даты операции с данными ценными бумагами не проводились.</w:t>
            </w:r>
          </w:p>
        </w:tc>
      </w:tr>
      <w:tr w:rsidR="00B53F2C" w:rsidRPr="001537B6" w:rsidTr="00F3062D">
        <w:trPr>
          <w:trHeight w:hRule="exact" w:val="51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1707"/>
              </w:tabs>
              <w:spacing w:line="228" w:lineRule="auto"/>
              <w:ind w:left="128" w:right="164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Если ценные бумаги приобретены после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453"/>
                <w:tab w:val="left" w:pos="2096"/>
              </w:tabs>
              <w:spacing w:line="228" w:lineRule="auto"/>
              <w:ind w:left="128" w:right="164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22.02.2022 или 01.03.2022 в соответствии с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spacing w:line="228" w:lineRule="auto"/>
              <w:ind w:left="128" w:right="164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Указами Президента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2C" w:rsidRPr="001537B6" w:rsidRDefault="00B53F2C" w:rsidP="00F3062D">
            <w:pPr>
              <w:pStyle w:val="ab"/>
              <w:shd w:val="clear" w:color="auto" w:fill="auto"/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1.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ab/>
              <w:t>(Комплект документов на владельцев ценных бумаг по всей цепочке (в составе, определенном для соответствующего лица в п. 1 и 2 настоящего Перечня Подтверждающих документов).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tabs>
                <w:tab w:val="left" w:pos="888"/>
                <w:tab w:val="left" w:pos="2549"/>
                <w:tab w:val="left" w:pos="3743"/>
              </w:tabs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2. Отчеты номинальных держателей (депозитариев)/ предыдущих регистраторов по каждой операции в цепочке сделок с ценными бумагами.</w:t>
            </w:r>
          </w:p>
          <w:p w:rsidR="00B53F2C" w:rsidRPr="001537B6" w:rsidRDefault="00B53F2C" w:rsidP="00F3062D">
            <w:pPr>
              <w:pStyle w:val="ab"/>
              <w:shd w:val="clear" w:color="auto" w:fill="auto"/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Также могут быть предоставлены: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2"/>
              </w:numPr>
              <w:shd w:val="clear" w:color="auto" w:fill="auto"/>
              <w:tabs>
                <w:tab w:val="left" w:pos="440"/>
              </w:tabs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договоры купли-продажи пенных бумаг;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2"/>
              </w:numPr>
              <w:shd w:val="clear" w:color="auto" w:fill="auto"/>
              <w:tabs>
                <w:tab w:val="left" w:pos="444"/>
              </w:tabs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eastAsia="ru-RU" w:bidi="ru-RU"/>
              </w:rPr>
              <w:t>отчеты брокера</w:t>
            </w: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  <w:lang w:val="en-US" w:eastAsia="ru-RU" w:bidi="ru-RU"/>
              </w:rPr>
              <w:t>;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2"/>
              </w:numPr>
              <w:shd w:val="clear" w:color="auto" w:fill="auto"/>
              <w:tabs>
                <w:tab w:val="left" w:pos="444"/>
              </w:tabs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  <w:t>заверения номинального держателя (депозитария) по сделкам, которые совершаются в один день (день проведения операции) по нескольким лицевыми счетам зарегистрированных лиц (последовательные переводы одной и той же ценной бумаги).</w:t>
            </w:r>
          </w:p>
          <w:p w:rsidR="00B53F2C" w:rsidRPr="001537B6" w:rsidRDefault="00B53F2C" w:rsidP="00B53F2C">
            <w:pPr>
              <w:pStyle w:val="ab"/>
              <w:numPr>
                <w:ilvl w:val="0"/>
                <w:numId w:val="12"/>
              </w:numPr>
              <w:shd w:val="clear" w:color="auto" w:fill="auto"/>
              <w:tabs>
                <w:tab w:val="left" w:pos="444"/>
              </w:tabs>
              <w:spacing w:line="226" w:lineRule="auto"/>
              <w:ind w:left="92" w:right="131"/>
              <w:jc w:val="both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1537B6">
              <w:rPr>
                <w:rFonts w:ascii="Proxima Nova ExCn Rg" w:hAnsi="Proxima Nova ExCn Rg" w:cs="Arial"/>
                <w:color w:val="000000" w:themeColor="text1"/>
                <w:sz w:val="28"/>
                <w:szCs w:val="28"/>
              </w:rPr>
              <w:t>письмо-подтверждение номинального держателя/ регистратора, из которого переводятся ценные бумаги, о том, что переводимые ценные бумаги не требуют обособления;</w:t>
            </w:r>
          </w:p>
        </w:tc>
      </w:tr>
    </w:tbl>
    <w:p w:rsidR="00B53F2C" w:rsidRPr="001537B6" w:rsidRDefault="00B53F2C" w:rsidP="00B53F2C">
      <w:pPr>
        <w:pStyle w:val="11"/>
        <w:shd w:val="clear" w:color="auto" w:fill="auto"/>
        <w:tabs>
          <w:tab w:val="left" w:pos="495"/>
        </w:tabs>
        <w:ind w:firstLine="0"/>
        <w:jc w:val="both"/>
        <w:rPr>
          <w:rFonts w:ascii="Proxima Nova ExCn Rg" w:hAnsi="Proxima Nova ExCn Rg"/>
          <w:color w:val="000000" w:themeColor="text1"/>
          <w:sz w:val="28"/>
          <w:szCs w:val="28"/>
          <w:lang w:eastAsia="ru-RU" w:bidi="ru-RU"/>
        </w:rPr>
      </w:pPr>
      <w:r w:rsidRPr="001537B6">
        <w:rPr>
          <w:rFonts w:ascii="Proxima Nova ExCn Rg" w:hAnsi="Proxima Nova ExCn Rg"/>
          <w:color w:val="000000" w:themeColor="text1"/>
          <w:sz w:val="28"/>
          <w:szCs w:val="28"/>
          <w:lang w:eastAsia="ru-RU" w:bidi="ru-RU"/>
        </w:rPr>
        <w:t>При каждой последующей операции, за исключением операций с ценными бумагами по Указу № 138, зарегистрированное лицо предоставляет Регистратору письмо-Заявление, о том, что сведения в ранее предоставленных документах не изменялись и актуальны на дату предоставления письма.</w:t>
      </w:r>
    </w:p>
    <w:p w:rsidR="00890FC4" w:rsidRDefault="00B0177C"/>
    <w:sectPr w:rsidR="00890FC4" w:rsidSect="00812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7C" w:rsidRDefault="00B0177C" w:rsidP="00812D90">
      <w:r>
        <w:separator/>
      </w:r>
    </w:p>
  </w:endnote>
  <w:endnote w:type="continuationSeparator" w:id="0">
    <w:p w:rsidR="00B0177C" w:rsidRDefault="00B0177C" w:rsidP="0081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0" w:rsidRDefault="00812D9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71324"/>
      <w:docPartObj>
        <w:docPartGallery w:val="Page Numbers (Bottom of Page)"/>
        <w:docPartUnique/>
      </w:docPartObj>
    </w:sdtPr>
    <w:sdtContent>
      <w:bookmarkStart w:id="0" w:name="_GoBack" w:displacedByCustomXml="prev"/>
      <w:p w:rsidR="00812D90" w:rsidRDefault="00812D90">
        <w:pPr>
          <w:pStyle w:val="af0"/>
          <w:jc w:val="right"/>
        </w:pPr>
        <w:r w:rsidRPr="00812D90">
          <w:rPr>
            <w:rFonts w:ascii="Proxima Nova ExCn Rg" w:hAnsi="Proxima Nova ExCn Rg"/>
            <w:sz w:val="20"/>
            <w:szCs w:val="20"/>
          </w:rPr>
          <w:fldChar w:fldCharType="begin"/>
        </w:r>
        <w:r w:rsidRPr="00812D90">
          <w:rPr>
            <w:rFonts w:ascii="Proxima Nova ExCn Rg" w:hAnsi="Proxima Nova ExCn Rg"/>
            <w:sz w:val="20"/>
            <w:szCs w:val="20"/>
          </w:rPr>
          <w:instrText>PAGE   \* MERGEFORMAT</w:instrText>
        </w:r>
        <w:r w:rsidRPr="00812D90">
          <w:rPr>
            <w:rFonts w:ascii="Proxima Nova ExCn Rg" w:hAnsi="Proxima Nova ExCn Rg"/>
            <w:sz w:val="20"/>
            <w:szCs w:val="20"/>
          </w:rPr>
          <w:fldChar w:fldCharType="separate"/>
        </w:r>
        <w:r>
          <w:rPr>
            <w:rFonts w:ascii="Proxima Nova ExCn Rg" w:hAnsi="Proxima Nova ExCn Rg"/>
            <w:noProof/>
            <w:sz w:val="20"/>
            <w:szCs w:val="20"/>
          </w:rPr>
          <w:t>2</w:t>
        </w:r>
        <w:r w:rsidRPr="00812D90">
          <w:rPr>
            <w:rFonts w:ascii="Proxima Nova ExCn Rg" w:hAnsi="Proxima Nova ExCn Rg"/>
            <w:sz w:val="20"/>
            <w:szCs w:val="20"/>
          </w:rPr>
          <w:fldChar w:fldCharType="end"/>
        </w:r>
      </w:p>
      <w:bookmarkEnd w:id="0" w:displacedByCustomXml="next"/>
    </w:sdtContent>
  </w:sdt>
  <w:p w:rsidR="00812D90" w:rsidRDefault="00812D9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0" w:rsidRDefault="00812D9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7C" w:rsidRDefault="00B0177C" w:rsidP="00812D90">
      <w:r>
        <w:separator/>
      </w:r>
    </w:p>
  </w:footnote>
  <w:footnote w:type="continuationSeparator" w:id="0">
    <w:p w:rsidR="00B0177C" w:rsidRDefault="00B0177C" w:rsidP="0081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0" w:rsidRDefault="00812D9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0" w:rsidRDefault="00812D9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0" w:rsidRDefault="00812D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EF8"/>
    <w:multiLevelType w:val="multilevel"/>
    <w:tmpl w:val="185CF730"/>
    <w:lvl w:ilvl="0">
      <w:start w:val="1"/>
      <w:numFmt w:val="decimal"/>
      <w:lvlText w:val="%1."/>
      <w:lvlJc w:val="left"/>
      <w:rPr>
        <w:rFonts w:ascii="Proxima Nova ExCn Rg" w:eastAsia="Times New Roman" w:hAnsi="Proxima Nova ExCn Rg" w:cs="Times New Roman" w:hint="default"/>
        <w:b w:val="0"/>
        <w:bCs w:val="0"/>
        <w:i w:val="0"/>
        <w:iCs w:val="0"/>
        <w:smallCaps w:val="0"/>
        <w:strike w:val="0"/>
        <w:color w:val="3F3A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D373A"/>
    <w:multiLevelType w:val="multilevel"/>
    <w:tmpl w:val="3904979E"/>
    <w:lvl w:ilvl="0">
      <w:start w:val="1"/>
      <w:numFmt w:val="decimal"/>
      <w:lvlText w:val="%1."/>
      <w:lvlJc w:val="left"/>
      <w:rPr>
        <w:rFonts w:ascii="Proxima Nova ExCn Rg" w:eastAsia="Times New Roman" w:hAnsi="Proxima Nova ExCn R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F5116"/>
    <w:multiLevelType w:val="hybridMultilevel"/>
    <w:tmpl w:val="D94E3CD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0415"/>
    <w:multiLevelType w:val="multilevel"/>
    <w:tmpl w:val="70B08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A205C"/>
    <w:multiLevelType w:val="multilevel"/>
    <w:tmpl w:val="587CE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784AF9"/>
    <w:multiLevelType w:val="multilevel"/>
    <w:tmpl w:val="53125206"/>
    <w:lvl w:ilvl="0">
      <w:start w:val="1"/>
      <w:numFmt w:val="decimal"/>
      <w:lvlText w:val="1.%1."/>
      <w:lvlJc w:val="left"/>
      <w:rPr>
        <w:rFonts w:ascii="Proxima Nova ExCn Rg" w:eastAsia="Times New Roman" w:hAnsi="Proxima Nova ExCn Rg" w:cs="Times New Roman" w:hint="default"/>
        <w:b w:val="0"/>
        <w:bCs w:val="0"/>
        <w:i w:val="0"/>
        <w:iCs w:val="0"/>
        <w:smallCaps w:val="0"/>
        <w:strike w:val="0"/>
        <w:color w:val="403B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1D140C"/>
    <w:multiLevelType w:val="multilevel"/>
    <w:tmpl w:val="AC40C0B4"/>
    <w:lvl w:ilvl="0">
      <w:start w:val="2"/>
      <w:numFmt w:val="decimal"/>
      <w:lvlText w:val="2.%1."/>
      <w:lvlJc w:val="left"/>
      <w:rPr>
        <w:rFonts w:ascii="Proxima Nova ExCn Rg" w:eastAsia="Times New Roman" w:hAnsi="Proxima Nova ExCn R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A1F26"/>
    <w:multiLevelType w:val="hybridMultilevel"/>
    <w:tmpl w:val="694A982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3A3A"/>
    <w:multiLevelType w:val="multilevel"/>
    <w:tmpl w:val="1518A886"/>
    <w:lvl w:ilvl="0">
      <w:start w:val="1"/>
      <w:numFmt w:val="decimal"/>
      <w:lvlText w:val="1.%1."/>
      <w:lvlJc w:val="left"/>
      <w:rPr>
        <w:rFonts w:ascii="Proxima Nova ExCn Rg" w:eastAsia="Times New Roman" w:hAnsi="Proxima Nova ExCn R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AC4281"/>
    <w:multiLevelType w:val="multilevel"/>
    <w:tmpl w:val="800240C0"/>
    <w:lvl w:ilvl="0">
      <w:start w:val="1"/>
      <w:numFmt w:val="decimal"/>
      <w:lvlText w:val="1.%1."/>
      <w:lvlJc w:val="left"/>
      <w:rPr>
        <w:rFonts w:ascii="Proxima Nova ExCn Rg" w:eastAsia="Times New Roman" w:hAnsi="Proxima Nova ExCn Rg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E3564C"/>
    <w:multiLevelType w:val="hybridMultilevel"/>
    <w:tmpl w:val="5D3E9174"/>
    <w:lvl w:ilvl="0" w:tplc="EC16BA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57AC"/>
    <w:multiLevelType w:val="hybridMultilevel"/>
    <w:tmpl w:val="367810B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4E60"/>
    <w:multiLevelType w:val="multilevel"/>
    <w:tmpl w:val="FA1ED3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B"/>
    <w:rsid w:val="00056C5F"/>
    <w:rsid w:val="00136377"/>
    <w:rsid w:val="00292887"/>
    <w:rsid w:val="004322EB"/>
    <w:rsid w:val="0044414D"/>
    <w:rsid w:val="005F6C90"/>
    <w:rsid w:val="00691B02"/>
    <w:rsid w:val="00812D90"/>
    <w:rsid w:val="00905722"/>
    <w:rsid w:val="009F495D"/>
    <w:rsid w:val="00B0177C"/>
    <w:rsid w:val="00B53F2C"/>
    <w:rsid w:val="00CB6D41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100E"/>
  <w15:chartTrackingRefBased/>
  <w15:docId w15:val="{B4D26989-FDCD-43C0-86A8-A672FCA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495D"/>
    <w:pPr>
      <w:keepNext/>
      <w:keepLines/>
      <w:spacing w:before="240"/>
      <w:outlineLvl w:val="0"/>
    </w:pPr>
    <w:rPr>
      <w:rFonts w:ascii="Proxima Nova" w:eastAsiaTheme="majorEastAsia" w:hAnsi="Proxima Nov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5D"/>
    <w:rPr>
      <w:rFonts w:ascii="Proxima Nova" w:eastAsiaTheme="majorEastAsia" w:hAnsi="Proxima Nova" w:cstheme="majorBidi"/>
      <w:color w:val="000000" w:themeColor="text1"/>
      <w:sz w:val="32"/>
      <w:szCs w:val="32"/>
    </w:rPr>
  </w:style>
  <w:style w:type="paragraph" w:styleId="a3">
    <w:name w:val="caption"/>
    <w:aliases w:val="Приложени 1"/>
    <w:basedOn w:val="a4"/>
    <w:autoRedefine/>
    <w:rsid w:val="00905722"/>
    <w:pPr>
      <w:contextualSpacing w:val="0"/>
      <w:jc w:val="right"/>
    </w:pPr>
    <w:rPr>
      <w:rFonts w:ascii="Proxima Nova ExCn Rg" w:eastAsia="Times New Roman" w:hAnsi="Proxima Nova ExCn Rg" w:cs="Times New Roman"/>
      <w:b/>
      <w:spacing w:val="0"/>
      <w:kern w:val="0"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9057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05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1"/>
    <w:next w:val="2"/>
    <w:link w:val="a7"/>
    <w:autoRedefine/>
    <w:uiPriority w:val="11"/>
    <w:qFormat/>
    <w:rsid w:val="00136377"/>
    <w:pPr>
      <w:keepNext w:val="0"/>
      <w:keepLines w:val="0"/>
      <w:numPr>
        <w:ilvl w:val="1"/>
      </w:numPr>
      <w:tabs>
        <w:tab w:val="left" w:pos="0"/>
        <w:tab w:val="left" w:pos="851"/>
        <w:tab w:val="left" w:pos="8505"/>
      </w:tabs>
      <w:spacing w:before="0" w:after="120"/>
      <w:outlineLvl w:val="1"/>
    </w:pPr>
    <w:rPr>
      <w:rFonts w:ascii="Proxima Nova ExCn Rg" w:eastAsiaTheme="minorEastAsia" w:hAnsi="Proxima Nova ExCn Rg" w:cstheme="minorBidi"/>
      <w:b/>
      <w:spacing w:val="15"/>
      <w:sz w:val="28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36377"/>
    <w:rPr>
      <w:rFonts w:ascii="Proxima Nova ExCn Rg" w:eastAsiaTheme="minorEastAsia" w:hAnsi="Proxima Nova ExCn Rg" w:cstheme="minorBidi"/>
      <w:b/>
      <w:color w:val="000000" w:themeColor="text1"/>
      <w:spacing w:val="15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36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Основной текст_"/>
    <w:basedOn w:val="a0"/>
    <w:link w:val="11"/>
    <w:rsid w:val="00B53F2C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53F2C"/>
    <w:pPr>
      <w:shd w:val="clear" w:color="auto" w:fill="FFFFFF"/>
      <w:autoSpaceDE/>
      <w:autoSpaceDN/>
      <w:adjustRightInd/>
      <w:spacing w:after="120" w:line="259" w:lineRule="auto"/>
      <w:ind w:firstLine="40"/>
    </w:pPr>
    <w:rPr>
      <w:rFonts w:ascii="Times New Roman" w:hAnsi="Times New Roman" w:cs="Times New Roman"/>
      <w:sz w:val="17"/>
      <w:szCs w:val="17"/>
      <w:lang w:eastAsia="en-US"/>
    </w:rPr>
  </w:style>
  <w:style w:type="table" w:styleId="a9">
    <w:name w:val="Table Grid"/>
    <w:basedOn w:val="a1"/>
    <w:uiPriority w:val="39"/>
    <w:rsid w:val="00B5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B53F2C"/>
    <w:rPr>
      <w:rFonts w:eastAsia="Times New Roman"/>
      <w:color w:val="403B2A"/>
      <w:sz w:val="18"/>
      <w:szCs w:val="18"/>
      <w:shd w:val="clear" w:color="auto" w:fill="FFFFFF"/>
    </w:rPr>
  </w:style>
  <w:style w:type="paragraph" w:customStyle="1" w:styleId="ab">
    <w:name w:val="Другое"/>
    <w:basedOn w:val="a"/>
    <w:link w:val="aa"/>
    <w:rsid w:val="00B53F2C"/>
    <w:pPr>
      <w:shd w:val="clear" w:color="auto" w:fill="FFFFFF"/>
      <w:autoSpaceDE/>
      <w:autoSpaceDN/>
      <w:adjustRightInd/>
    </w:pPr>
    <w:rPr>
      <w:rFonts w:ascii="Times New Roman" w:hAnsi="Times New Roman" w:cs="Times New Roman"/>
      <w:color w:val="403B2A"/>
      <w:sz w:val="18"/>
      <w:szCs w:val="18"/>
      <w:lang w:eastAsia="en-US"/>
    </w:rPr>
  </w:style>
  <w:style w:type="paragraph" w:styleId="ac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"/>
    <w:link w:val="ad"/>
    <w:uiPriority w:val="34"/>
    <w:qFormat/>
    <w:rsid w:val="00B53F2C"/>
    <w:pPr>
      <w:ind w:left="720"/>
      <w:contextualSpacing/>
    </w:pPr>
  </w:style>
  <w:style w:type="character" w:customStyle="1" w:styleId="ad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link w:val="ac"/>
    <w:uiPriority w:val="34"/>
    <w:qFormat/>
    <w:locked/>
    <w:rsid w:val="00B53F2C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12D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2D90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12D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2D9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Galina A.</dc:creator>
  <cp:keywords/>
  <dc:description/>
  <cp:lastModifiedBy>Petrova Galina A.</cp:lastModifiedBy>
  <cp:revision>5</cp:revision>
  <dcterms:created xsi:type="dcterms:W3CDTF">2024-02-01T18:03:00Z</dcterms:created>
  <dcterms:modified xsi:type="dcterms:W3CDTF">2024-02-01T18:06:00Z</dcterms:modified>
</cp:coreProperties>
</file>